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2022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 w:rsidRPr="00F41AFA">
            <w:rPr>
              <w:b w:val="0"/>
              <w:bCs w:val="0"/>
            </w:rPr>
            <w:fldChar w:fldCharType="begin"/>
          </w:r>
          <w:r w:rsidR="007D3B4C">
            <w:instrText>TOC \o "1-3" \h \z \u</w:instrText>
          </w:r>
          <w:r w:rsidRPr="00F41AFA"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1BC" w:rsidRDefault="00F41AF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4C" w:rsidRDefault="00F41AFA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380B17" w:rsidRDefault="00C829E4"/>
    <w:p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:rsidR="00DF06C3" w:rsidRDefault="00DF06C3"/>
    <w:p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:rsidR="00234BAF" w:rsidRDefault="00A82AEF" w:rsidP="00A82AEF">
      <w:r>
        <w:t>Codice fiscale:</w:t>
      </w:r>
      <w:r w:rsidR="00415712">
        <w:t xml:space="preserve"> </w:t>
      </w:r>
      <w:r w:rsidR="00A2153D">
        <w:t>06258150827</w:t>
      </w:r>
    </w:p>
    <w:p w:rsidR="00D76FA5" w:rsidRDefault="00D76FA5" w:rsidP="00A82AEF">
      <w:r>
        <w:t>Partita IVA:</w:t>
      </w:r>
      <w:r w:rsidR="00884807">
        <w:t xml:space="preserve"> </w:t>
      </w:r>
      <w:r w:rsidR="00A2153D">
        <w:t>06258150827</w:t>
      </w:r>
    </w:p>
    <w:p w:rsidR="00A82AEF" w:rsidRDefault="00A82AEF" w:rsidP="00A82AEF">
      <w:r>
        <w:t>Denominazione:</w:t>
      </w:r>
      <w:r w:rsidR="00884807">
        <w:t xml:space="preserve"> </w:t>
      </w:r>
      <w:r w:rsidR="00A2153D">
        <w:t>SOCIETA' PER LA REGOLAMENTAZIONE DEL SERVIZIO DI GESTIONE RIFIUTI PALERMO PROVINCIA EST SOCIETA' CONSORTILE PER AZIONI</w:t>
      </w:r>
      <w:r w:rsidR="00415712">
        <w:t xml:space="preserve"> </w:t>
      </w:r>
    </w:p>
    <w:p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non si applica</w:t>
      </w:r>
    </w:p>
    <w:p w:rsidR="00234BAF" w:rsidRDefault="00A82AEF" w:rsidP="00A82AEF">
      <w:r>
        <w:t>Regione di appartenenza:</w:t>
      </w:r>
      <w:r w:rsidR="00884807">
        <w:t xml:space="preserve"> </w:t>
      </w:r>
      <w:r w:rsidR="00B43CD5">
        <w:t>Sicilia</w:t>
      </w:r>
    </w:p>
    <w:p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1-15</w:t>
      </w:r>
    </w:p>
    <w:p w:rsidR="00A82AEF" w:rsidRDefault="00A82AEF" w:rsidP="00A82AEF">
      <w:r>
        <w:t>Numero Dirigenti:</w:t>
      </w:r>
      <w:r w:rsidR="00415712" w:rsidRPr="00415712">
        <w:t xml:space="preserve"> </w:t>
      </w:r>
      <w:r w:rsidR="00A2153D">
        <w:t>2</w:t>
      </w:r>
    </w:p>
    <w:p w:rsidR="00651A97" w:rsidRDefault="00651A97" w:rsidP="00A82AEF"/>
    <w:p w:rsidR="00F34EA1" w:rsidRDefault="00380B17" w:rsidP="00A82AEF">
      <w:r>
        <w:t xml:space="preserve"> </w:t>
      </w:r>
    </w:p>
    <w:p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GIOVANNI</w:t>
      </w:r>
    </w:p>
    <w:p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SCELSI</w:t>
      </w:r>
      <w:r w:rsidR="00234BAF">
        <w:t xml:space="preserve"> </w:t>
      </w:r>
    </w:p>
    <w:p w:rsidR="00A82AEF" w:rsidRDefault="00A82AEF" w:rsidP="00A82AEF">
      <w:r>
        <w:t>Qualifica:</w:t>
      </w:r>
      <w:r w:rsidR="002C2A45">
        <w:t xml:space="preserve"> </w:t>
      </w:r>
      <w:r w:rsidR="00A2153D">
        <w:t xml:space="preserve"> Funzionario</w:t>
      </w:r>
      <w:r w:rsidR="00415712" w:rsidRPr="00415712">
        <w:t xml:space="preserve"> </w:t>
      </w:r>
    </w:p>
    <w:p w:rsidR="00A82AEF" w:rsidRDefault="00A82AEF" w:rsidP="00A82AEF">
      <w:r>
        <w:t>Posizione occupata:</w:t>
      </w:r>
      <w:r w:rsidR="00415712">
        <w:t xml:space="preserve"> </w:t>
      </w:r>
      <w:r w:rsidR="00A2153D">
        <w:t>Dipendente</w:t>
      </w:r>
      <w:r w:rsidR="00781E8B">
        <w:t xml:space="preserve"> </w:t>
      </w:r>
    </w:p>
    <w:p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06/10/2022</w:t>
      </w:r>
    </w:p>
    <w:p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:rsidR="00F44674" w:rsidRDefault="00F44674" w:rsidP="00C431C9"/>
    <w:p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:rsidR="003C0D8A" w:rsidRDefault="003C0D8A" w:rsidP="0011180E">
      <w:pPr>
        <w:jc w:val="both"/>
      </w:pPr>
    </w:p>
    <w:p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:rsidR="0026292B" w:rsidRDefault="0026292B" w:rsidP="0026292B"/>
    <w:p w:rsidR="0026292B" w:rsidRDefault="0026292B" w:rsidP="0026292B">
      <w:r>
        <w:t>Nel corso dell’annualità di riferimento, lo stato di programmazione e attuazione delle misure generali è sintetizzato nella seguente tabella</w:t>
      </w:r>
    </w:p>
    <w:p w:rsidR="00F4041B" w:rsidRDefault="00F4041B" w:rsidP="0026292B"/>
    <w:tbl>
      <w:tblPr>
        <w:tblStyle w:val="Grigliatabella"/>
        <w:tblW w:w="9622" w:type="dxa"/>
        <w:tblLook w:val="04A0"/>
      </w:tblPr>
      <w:tblGrid>
        <w:gridCol w:w="4591"/>
        <w:gridCol w:w="2370"/>
        <w:gridCol w:w="2661"/>
      </w:tblGrid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:rsidTr="00843542">
        <w:trPr>
          <w:trHeight w:val="390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:rsidTr="00843542">
        <w:trPr>
          <w:trHeight w:val="26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</w:tcPr>
          <w:p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post-employment - Pantouflage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A1700F" w:rsidRDefault="00A1700F" w:rsidP="00A1700F"/>
    <w:p w:rsidR="0026292B" w:rsidRDefault="00992ECA" w:rsidP="00A82AEF">
      <w:r>
        <w:t>Per quanto riguarda le misure non attuate si evidenzia che:</w:t>
      </w:r>
      <w:r>
        <w:br/>
        <w:t>- Per 1 misure sono state avviate le attività e, dunque, sono attualmente in corso di adozione</w:t>
      </w:r>
    </w:p>
    <w:p w:rsidR="00992ECA" w:rsidRDefault="00992ECA" w:rsidP="00A82AEF"/>
    <w:p w:rsidR="00B613CC" w:rsidRDefault="00F41AFA" w:rsidP="00A82AEF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1026" type="#_x0000_t202" style="position:absolute;margin-left:18.7pt;margin-top:3.2pt;width:443.7pt;height:51.9pt;z-index:251659264;visibility:visible;mso-width-relative:margin;mso-height-relative:margin" fillcolor="#deeaf6 [664]" strokeweight=".5pt">
            <v:textbox>
              <w:txbxContent>
                <w:p w:rsidR="00380B17" w:rsidRDefault="00380B17">
                  <w:r>
                    <w:t>Note del RPCT:</w:t>
                  </w:r>
                </w:p>
                <w:p w:rsidR="00380B17" w:rsidRDefault="00380B17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:rsidR="00B50D70" w:rsidRDefault="00B50D70" w:rsidP="00B50D70"/>
    <w:p w:rsidR="00997BF2" w:rsidRDefault="00997BF2" w:rsidP="00FB676F">
      <w:r>
        <w:t>Le misure atte a disciplinare e a sanzionare i comportamenti rilevanti ai fini della prevenzione della corruzione ai sensi della Legge n. 190/2012 sono state previste in un apposito codice e sono state adottate nel 2018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L'accurato contenuto del Codice di Comportamento Approvato e la esiguità del numero di incarichi e relativi contratti , non ha reso necessario apportare alcuna modifica al medesimo.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acquisizione e conservazione delle dichiarazioni di insussistenza di situazioni di conflitto di interessi da parte dei dipendenti al momento dell’assegnazione all’ufficio o della nomina a RUP</w:t>
      </w:r>
      <w:r>
        <w:br/>
        <w:t xml:space="preserve">  - esemplificazione di casistiche ricorrenti di situazioni di conflitto di interessi</w:t>
      </w:r>
      <w:r>
        <w:br/>
        <w:t xml:space="preserve">  - individuazione dei soggetti tenuti a ricevere e valutare le situazioni di conflitto di interessi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attività di sensibilizzazione del personale al rispetto di quanto previsto in materia dalla l. n. 241/1990 e dalle misure di comportamento</w:t>
      </w:r>
    </w:p>
    <w:p w:rsidR="0087364D" w:rsidRPr="00983FB7" w:rsidRDefault="00F41AFA" w:rsidP="00FB676F">
      <w:pPr>
        <w:jc w:val="both"/>
        <w:rPr>
          <w:color w:val="000000" w:themeColor="text1"/>
        </w:rPr>
      </w:pPr>
      <w:r w:rsidRPr="00F41AFA">
        <w:rPr>
          <w:noProof/>
          <w:lang w:eastAsia="it-IT"/>
        </w:rPr>
        <w:pict>
          <v:shape id="Casella di testo 6" o:spid="_x0000_s1027" type="#_x0000_t202" style="position:absolute;left:0;text-align:left;margin-left:18.7pt;margin-top:18.25pt;width:443.7pt;height:51.9pt;z-index:251661312;visibility:visible;mso-width-relative:margin;mso-height-relative:margin" fillcolor="#deeaf6 [664]" strokeweight=".5pt">
            <v:textbox>
              <w:txbxContent>
                <w:p w:rsidR="00380B17" w:rsidRDefault="00380B17" w:rsidP="00BE39BE">
                  <w:r>
                    <w:t>Note del RPCT:</w:t>
                  </w:r>
                </w:p>
                <w:p w:rsidR="00380B17" w:rsidRDefault="00380B17" w:rsidP="00BE39BE"/>
                <w:p w:rsidR="00380B17" w:rsidRDefault="00380B17" w:rsidP="00BE39BE"/>
              </w:txbxContent>
            </v:textbox>
            <w10:wrap type="topAndBottom"/>
          </v:shape>
        </w:pict>
      </w:r>
    </w:p>
    <w:p w:rsidR="00BE39BE" w:rsidRDefault="00BE39BE" w:rsidP="00A82AEF"/>
    <w:p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:rsidR="0097533D" w:rsidRDefault="0097533D" w:rsidP="002A0EC3"/>
    <w:p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:rsidR="00997BF2" w:rsidRDefault="00997BF2" w:rsidP="00050F7D">
      <w:r>
        <w:t xml:space="preserve">Nel documento unitario che tiene luogo del PTPCT o nella sezione apposita del M.O.G. non è stata prevista la misura della Rotazione Ordinaria del Personale per le seguenti motivazioni: La pianta organica, al momento composta da n. 6 unità, differenti per competenze consolidate, non consente la rotazione del Personale. </w:t>
      </w:r>
    </w:p>
    <w:p w:rsidR="00997BF2" w:rsidRDefault="00997BF2" w:rsidP="00050F7D"/>
    <w:p w:rsidR="00997BF2" w:rsidRDefault="00997BF2" w:rsidP="00050F7D"/>
    <w:p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:rsidR="00C74F37" w:rsidRDefault="00C74F37" w:rsidP="00050F7D"/>
    <w:p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:rsidR="00C74F37" w:rsidRDefault="00C74F37" w:rsidP="00050F7D"/>
    <w:p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:rsidR="00997BF2" w:rsidRDefault="00997BF2" w:rsidP="00050F7D">
      <w:r>
        <w:br/>
        <w:t xml:space="preserve">Nel documento unitario che tiene luogo del PTPCT o nella sezione apposita del M.O.G. non sono previste misure ai sensi dell'art. 3 della L. n. 97/2001 per le seguenti motivazioni:Non vi sono stati episodi di dipendenti coinvolti in procedimenti penali con sentenza irrevocabile. 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:rsidR="00991AAD" w:rsidRDefault="00F41AFA" w:rsidP="00991AAD">
      <w:r>
        <w:rPr>
          <w:noProof/>
          <w:lang w:eastAsia="it-IT"/>
        </w:rPr>
        <w:pict>
          <v:shape id="Casella di testo 7" o:spid="_x0000_s1028" type="#_x0000_t202" style="position:absolute;margin-left:19.9pt;margin-top:28.8pt;width:443.7pt;height:51.9pt;z-index:251663360;visibility:visible;mso-width-relative:margin;mso-height-relative:margin" fillcolor="#deeaf6 [664]" strokeweight=".5pt">
            <v:textbox>
              <w:txbxContent>
                <w:p w:rsidR="00380B17" w:rsidRDefault="00380B17" w:rsidP="00425435">
                  <w:r>
                    <w:t>Note del RPCT:</w:t>
                  </w:r>
                </w:p>
                <w:p w:rsidR="00380B17" w:rsidRDefault="00380B17" w:rsidP="00425435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BE39BE" w:rsidRDefault="00BE39BE" w:rsidP="00A82AEF"/>
    <w:p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:rsidR="0069341C" w:rsidRDefault="0069341C" w:rsidP="0083587B"/>
    <w:p w:rsidR="0069341C" w:rsidRDefault="0069341C" w:rsidP="0083587B">
      <w:r>
        <w:t xml:space="preserve">Le misure in materia di inconferibilità e incompatibilità degli incarichi, pur essendo state programmate nel documento unitario che tiene luogo del PTPCT o nella sezione apposita del M.O.G. di riferimento, non sono state ancora attuate, in particolare: </w:t>
      </w:r>
      <w:r>
        <w:br/>
        <w:t>Sono state avviate le attività e, dunque, sono attualmente in corso di adozione</w:t>
      </w:r>
    </w:p>
    <w:p w:rsidR="0069341C" w:rsidRDefault="0069341C" w:rsidP="0083587B"/>
    <w:p w:rsidR="006527DA" w:rsidRDefault="00F41AFA" w:rsidP="00A82AEF">
      <w:r>
        <w:rPr>
          <w:noProof/>
          <w:lang w:eastAsia="it-IT"/>
        </w:rPr>
        <w:pict>
          <v:shape id="Casella di testo 8" o:spid="_x0000_s1029" type="#_x0000_t202" style="position:absolute;margin-left:19.45pt;margin-top:24.15pt;width:443.7pt;height:51.9pt;z-index:251665408;visibility:visible;mso-width-relative:margin;mso-height-relative:margin" fillcolor="#deeaf6 [664]" strokeweight=".5pt">
            <v:textbox>
              <w:txbxContent>
                <w:p w:rsidR="00380B17" w:rsidRDefault="00380B17" w:rsidP="00E80390">
                  <w:r>
                    <w:t>Note del RPCT:</w:t>
                  </w:r>
                </w:p>
                <w:p w:rsidR="00380B17" w:rsidRDefault="00380B17" w:rsidP="00E80390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:rsidR="000076D6" w:rsidRDefault="000076D6" w:rsidP="00D352E2"/>
    <w:p w:rsidR="000076D6" w:rsidRDefault="000076D6" w:rsidP="00D352E2">
      <w:r>
        <w:t xml:space="preserve">La misura “Whistleblowing” non è stata programmata nel documento unitario che tiene luogo del PTPCT o nella sezione apposita del M.O.G. in esame o, laddove la misura sia stata già adottata negli anni precedenti, non si prevede di realizzare interventi correttivi o ad essa collegati per le </w:t>
      </w:r>
      <w:r>
        <w:lastRenderedPageBreak/>
        <w:t>seguenti motivazioni:</w:t>
      </w:r>
      <w:r>
        <w:br/>
        <w:t>Vista la ridotta dimensione della pianta organica dell'Azienda si è ritenuto non necessario prevedere una programmazione</w:t>
      </w:r>
    </w:p>
    <w:p w:rsidR="000076D6" w:rsidRDefault="000076D6" w:rsidP="00D352E2"/>
    <w:p w:rsidR="003A1D43" w:rsidRDefault="00F41AFA" w:rsidP="003A1D43">
      <w:r>
        <w:rPr>
          <w:noProof/>
          <w:lang w:eastAsia="it-IT"/>
        </w:rPr>
        <w:pict>
          <v:shape id="Casella di testo 9" o:spid="_x0000_s1030" type="#_x0000_t202" style="position:absolute;margin-left:26.15pt;margin-top:19.75pt;width:443.7pt;height:51.9pt;z-index:251667456;visibility:visible;mso-width-relative:margin;mso-height-relative:margin" fillcolor="#deeaf6 [664]" strokeweight=".5pt">
            <v:textbox>
              <w:txbxContent>
                <w:p w:rsidR="00380B17" w:rsidRDefault="00380B17" w:rsidP="00F96FBD">
                  <w:r>
                    <w:t>Note del RPCT:</w:t>
                  </w:r>
                </w:p>
                <w:p w:rsidR="00380B17" w:rsidRDefault="00380B17" w:rsidP="00F96FBD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:rsidR="001F3A1E" w:rsidRPr="00C7442D" w:rsidRDefault="001F3A1E" w:rsidP="001F3A1E"/>
    <w:p w:rsidR="00945379" w:rsidRDefault="00945379" w:rsidP="00D352E2">
      <w:r>
        <w:t>La misura “Formazione”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 per le seguenti motivazioni:</w:t>
      </w:r>
      <w:r>
        <w:br/>
        <w:t>Vista la ridotta dimensione della pianta organica dell'Azienda si è ritenuto non necessario prevedere una programmazione</w:t>
      </w:r>
    </w:p>
    <w:p w:rsidR="00945379" w:rsidRDefault="00945379" w:rsidP="00D352E2"/>
    <w:p w:rsidR="00945379" w:rsidRDefault="00945379" w:rsidP="00D352E2"/>
    <w:p w:rsidR="00945379" w:rsidRDefault="00945379" w:rsidP="00D352E2"/>
    <w:p w:rsidR="001F3A1E" w:rsidRDefault="00F41AFA" w:rsidP="001F3A1E">
      <w:pPr>
        <w:pBdr>
          <w:bottom w:val="single" w:sz="4" w:space="1" w:color="auto"/>
        </w:pBdr>
      </w:pPr>
      <w:r>
        <w:rPr>
          <w:noProof/>
          <w:lang w:eastAsia="it-IT"/>
        </w:rPr>
        <w:pict>
          <v:shape id="Casella di testo 33" o:spid="_x0000_s1031" type="#_x0000_t202" style="position:absolute;margin-left:19.45pt;margin-top:23.5pt;width:443.7pt;height:51.9pt;z-index:251692032;visibility:visible;mso-width-relative:margin;mso-height-relative:margin" fillcolor="#deeaf6 [664]" strokeweight=".5pt">
            <v:textbox>
              <w:txbxContent>
                <w:p w:rsidR="00380B17" w:rsidRDefault="00380B17" w:rsidP="001F3A1E">
                  <w:r>
                    <w:t>Note del RPCT:</w:t>
                  </w:r>
                </w:p>
                <w:p w:rsidR="00380B17" w:rsidRDefault="00380B17" w:rsidP="001F3A1E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:rsidR="006D748D" w:rsidRDefault="006D748D" w:rsidP="00D352E2"/>
    <w:p w:rsidR="006D748D" w:rsidRDefault="006D748D" w:rsidP="00D352E2">
      <w:r>
        <w:t>La misura “Trasparenza” non è stata programmata nel documento unitario che tiene luogo del PTPCT o nella sezione apposita del MOG in esame o, laddove la misura sia stata già adottata negli anni precedenti, non si prevede di realizzare interventi idonei a garantire la corretta e continua attuazione della stessa per le seguenti motivazioni:</w:t>
      </w:r>
      <w:r>
        <w:br/>
        <w:t>Vista la ridotta dimensione della pianta organica dell'Azienda si è ritenuto non necessario prevedere una programmazione</w:t>
      </w:r>
    </w:p>
    <w:p w:rsidR="006D748D" w:rsidRDefault="006D748D" w:rsidP="00D352E2"/>
    <w:p w:rsidR="00D866D2" w:rsidRDefault="00F41AFA" w:rsidP="00A82AEF">
      <w:r>
        <w:rPr>
          <w:noProof/>
          <w:lang w:eastAsia="it-IT"/>
        </w:rPr>
        <w:pict>
          <v:shape id="Casella di testo 10" o:spid="_x0000_s1032" type="#_x0000_t202" style="position:absolute;margin-left:10.5pt;margin-top:28.4pt;width:443.7pt;height:51.9pt;z-index:251669504;visibility:visible;mso-width-relative:margin;mso-height-relative:margin" fillcolor="#deeaf6 [664]" strokeweight=".5pt">
            <v:textbox>
              <w:txbxContent>
                <w:p w:rsidR="00380B17" w:rsidRDefault="00380B17" w:rsidP="00D866D2">
                  <w:r>
                    <w:t>Note del RPCT:</w:t>
                  </w:r>
                </w:p>
                <w:p w:rsidR="00380B17" w:rsidRDefault="00380B17" w:rsidP="00D866D2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D866D2" w:rsidRDefault="00D866D2" w:rsidP="00A82AEF"/>
    <w:p w:rsidR="00FC1197" w:rsidRPr="00FF5F58" w:rsidRDefault="00FC1197" w:rsidP="00DD6527">
      <w:pPr>
        <w:pStyle w:val="Titolo2"/>
      </w:pPr>
      <w:bookmarkStart w:id="15" w:name="_Toc56760964"/>
      <w:r>
        <w:t>Pantouflage</w:t>
      </w:r>
      <w:bookmarkEnd w:id="15"/>
    </w:p>
    <w:p w:rsidR="00532C1C" w:rsidRDefault="00532C1C" w:rsidP="006A67D1"/>
    <w:p w:rsidR="00FB7747" w:rsidRDefault="00FB7747" w:rsidP="00A82AEF">
      <w:r>
        <w:t xml:space="preserve">La misura “Pantouflage” non è stata programmata nel documento unitario che tiene luogo del PTPCT o nella sezione apposita del M.O.G. in esame o, laddove la misura sia stata già adottata negli anni precedenti, non si prevede di realizzare interventi correttivi o ad essa collegati per le </w:t>
      </w:r>
      <w:r>
        <w:lastRenderedPageBreak/>
        <w:t>seguenti motivazioni:</w:t>
      </w:r>
      <w:r>
        <w:br/>
        <w:t xml:space="preserve"> Vista la ridotta dimensione della pianta organica dell'Azienda si è ritenuto non necessario prevedere una programmazione</w:t>
      </w:r>
    </w:p>
    <w:p w:rsidR="00D866D2" w:rsidRDefault="00F41AFA" w:rsidP="00A82AEF">
      <w:r>
        <w:rPr>
          <w:noProof/>
          <w:lang w:eastAsia="it-IT"/>
        </w:rPr>
        <w:pict>
          <v:shape id="Casella di testo 11" o:spid="_x0000_s1033" type="#_x0000_t202" style="position:absolute;margin-left:0;margin-top:15.95pt;width:443.7pt;height:51.9pt;z-index:251671552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5B20C9">
                  <w:r>
                    <w:t>Note del RPCT:</w:t>
                  </w:r>
                </w:p>
                <w:p w:rsidR="00380B17" w:rsidRDefault="00380B17" w:rsidP="005B20C9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5B20C9" w:rsidRDefault="005B20C9" w:rsidP="00A82AEF"/>
    <w:p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:rsidR="005745AF" w:rsidRDefault="00F41AFA" w:rsidP="00234BAF">
      <w:pPr>
        <w:spacing w:before="240"/>
      </w:pPr>
      <w:r w:rsidRPr="00F41AFA">
        <w:rPr>
          <w:noProof/>
          <w:highlight w:val="yellow"/>
          <w:lang w:eastAsia="it-IT"/>
        </w:rPr>
        <w:pict>
          <v:shape id="Casella di testo 12" o:spid="_x0000_s1034" type="#_x0000_t202" style="position:absolute;margin-left:0;margin-top:32.95pt;width:443.7pt;height:51.9pt;z-index:251673600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38654E">
                  <w:r>
                    <w:t>Note del RPCT:</w:t>
                  </w:r>
                </w:p>
                <w:p w:rsidR="00380B17" w:rsidRDefault="00380B17" w:rsidP="0038654E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5745AF" w:rsidRDefault="005745AF" w:rsidP="00A82AEF"/>
    <w:p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:rsidR="00FB7747" w:rsidRDefault="00FB7747" w:rsidP="0010188D"/>
    <w:p w:rsidR="00FB7747" w:rsidRDefault="00FB7747" w:rsidP="0010188D">
      <w:r>
        <w:t>La misura “Patti di Integrità”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 Vista la ridotta dimensione della pianta organica dell'Azienda si è ritenuto non necessario prevedere una programmazione</w:t>
      </w:r>
    </w:p>
    <w:p w:rsidR="0010188D" w:rsidRDefault="00F41AFA" w:rsidP="005A1288">
      <w:pPr>
        <w:rPr>
          <w:color w:val="000000" w:themeColor="text1"/>
        </w:rPr>
      </w:pPr>
      <w:r w:rsidRPr="00F41AFA">
        <w:rPr>
          <w:noProof/>
          <w:lang w:eastAsia="it-IT"/>
        </w:rPr>
        <w:pict>
          <v:shape id="Casella di testo 13" o:spid="_x0000_s1035" type="#_x0000_t202" style="position:absolute;margin-left:24.9pt;margin-top:27.3pt;width:443.7pt;height:51.9pt;z-index:251675648;visibility:visible;mso-width-relative:margin;mso-height-relative:margin" fillcolor="#deeaf6 [664]" strokeweight=".5pt">
            <v:textbox>
              <w:txbxContent>
                <w:p w:rsidR="00380B17" w:rsidRDefault="00380B17" w:rsidP="00B96D6A">
                  <w:r>
                    <w:t>Note del RPCT:</w:t>
                  </w:r>
                </w:p>
                <w:p w:rsidR="00380B17" w:rsidRDefault="00380B17" w:rsidP="00B96D6A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38654E" w:rsidRDefault="0038654E" w:rsidP="00A82AEF"/>
    <w:p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:rsidR="00FB7747" w:rsidRDefault="00FB7747" w:rsidP="00F54F1D"/>
    <w:p w:rsidR="003C0D8A" w:rsidRDefault="00CF2A06" w:rsidP="00A82AEF">
      <w:r>
        <w:t>Il complesso delle misure attuate ha avuto un impatto/effetto (diretto o indiretto):</w:t>
      </w:r>
      <w:r>
        <w:br/>
        <w:t xml:space="preserve">  - neutrale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:rsidR="00CF2A06" w:rsidRDefault="00CF2A06" w:rsidP="00CF2A06">
      <w:pPr>
        <w:rPr>
          <w:color w:val="000000" w:themeColor="text1"/>
        </w:rPr>
      </w:pPr>
    </w:p>
    <w:p w:rsidR="00CF2A06" w:rsidRDefault="00F41AFA" w:rsidP="00A82AEF">
      <w:r>
        <w:rPr>
          <w:noProof/>
          <w:lang w:eastAsia="it-IT"/>
        </w:rPr>
        <w:lastRenderedPageBreak/>
        <w:pict>
          <v:shape id="Casella di testo 20" o:spid="_x0000_s1036" type="#_x0000_t202" style="position:absolute;margin-left:25.05pt;margin-top:12.65pt;width:443.7pt;height:51.9pt;z-index:251716608;visibility:visible;mso-width-relative:margin;mso-height-relative:margin" fillcolor="#deeaf6 [664]" strokeweight=".5pt">
            <v:textbox>
              <w:txbxContent>
                <w:p w:rsidR="00380B17" w:rsidRDefault="00380B17" w:rsidP="00CF2A06">
                  <w:r>
                    <w:t>Note del RPCT:</w:t>
                  </w:r>
                </w:p>
                <w:p w:rsidR="00380B17" w:rsidRDefault="00380B17" w:rsidP="00CF2A06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:rsidR="00F54F1D" w:rsidRDefault="00F54F1D" w:rsidP="00F54F1D"/>
    <w:p w:rsidR="00F54F1D" w:rsidRDefault="00F54F1D" w:rsidP="00F54F1D"/>
    <w:p w:rsidR="00F54F1D" w:rsidRDefault="00F54F1D" w:rsidP="00F54F1D"/>
    <w:p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:rsidR="001202D6" w:rsidRDefault="001202D6" w:rsidP="00A82AEF"/>
    <w:p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:rsidR="005D6F2E" w:rsidRDefault="005D6F2E" w:rsidP="00A82AEF"/>
    <w:p w:rsidR="00B36318" w:rsidRDefault="00B36318" w:rsidP="00B36318">
      <w:r>
        <w:t>Nel corso dell’annualità di riferimento, lo stato di programmazione e attuazione delle misure specifiche è sintetizzato nella seguente tabella</w:t>
      </w:r>
    </w:p>
    <w:p w:rsidR="00B36318" w:rsidRDefault="00B36318" w:rsidP="00B36318"/>
    <w:tbl>
      <w:tblPr>
        <w:tblStyle w:val="Grigliatabella"/>
        <w:tblW w:w="0" w:type="auto"/>
        <w:tblLook w:val="04A0"/>
      </w:tblPr>
      <w:tblGrid>
        <w:gridCol w:w="4622"/>
        <w:gridCol w:w="1439"/>
        <w:gridCol w:w="1183"/>
        <w:gridCol w:w="1339"/>
        <w:gridCol w:w="1265"/>
      </w:tblGrid>
      <w:tr w:rsidR="009348D6" w:rsidTr="00315210">
        <w:tc>
          <w:tcPr>
            <w:tcW w:w="3014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F41AFA">
        <w:tc>
          <w:tcPr>
            <w:tcW w:w="0" w:type="auto"/>
          </w:tcPr>
          <w:p w:rsidR="00F41AFA" w:rsidRDefault="00716C75">
            <w:r>
              <w:t>Misure di controllo</w:t>
            </w:r>
          </w:p>
        </w:tc>
        <w:tc>
          <w:tcPr>
            <w:tcW w:w="0" w:type="auto"/>
          </w:tcPr>
          <w:p w:rsidR="00F41AFA" w:rsidRDefault="00716C75">
            <w:r>
              <w:t>4</w:t>
            </w:r>
          </w:p>
        </w:tc>
        <w:tc>
          <w:tcPr>
            <w:tcW w:w="0" w:type="auto"/>
          </w:tcPr>
          <w:p w:rsidR="00F41AFA" w:rsidRDefault="00716C75">
            <w:r>
              <w:t>4</w:t>
            </w:r>
          </w:p>
        </w:tc>
        <w:tc>
          <w:tcPr>
            <w:tcW w:w="0" w:type="auto"/>
          </w:tcPr>
          <w:p w:rsidR="00F41AFA" w:rsidRDefault="00716C75">
            <w:r>
              <w:t>0</w:t>
            </w:r>
          </w:p>
        </w:tc>
        <w:tc>
          <w:tcPr>
            <w:tcW w:w="0" w:type="auto"/>
          </w:tcPr>
          <w:p w:rsidR="00F41AFA" w:rsidRDefault="00716C75">
            <w:r>
              <w:t>100</w:t>
            </w:r>
          </w:p>
        </w:tc>
      </w:tr>
      <w:tr w:rsidR="00F41AFA">
        <w:tc>
          <w:tcPr>
            <w:tcW w:w="0" w:type="auto"/>
          </w:tcPr>
          <w:p w:rsidR="00F41AFA" w:rsidRDefault="00716C75">
            <w:r>
              <w:t>Misure di trasparenza</w:t>
            </w:r>
          </w:p>
        </w:tc>
        <w:tc>
          <w:tcPr>
            <w:tcW w:w="0" w:type="auto"/>
          </w:tcPr>
          <w:p w:rsidR="00F41AFA" w:rsidRDefault="00716C75">
            <w:r>
              <w:t>14</w:t>
            </w:r>
          </w:p>
        </w:tc>
        <w:tc>
          <w:tcPr>
            <w:tcW w:w="0" w:type="auto"/>
          </w:tcPr>
          <w:p w:rsidR="00F41AFA" w:rsidRDefault="00716C75">
            <w:r>
              <w:t>14</w:t>
            </w:r>
          </w:p>
        </w:tc>
        <w:tc>
          <w:tcPr>
            <w:tcW w:w="0" w:type="auto"/>
          </w:tcPr>
          <w:p w:rsidR="00F41AFA" w:rsidRDefault="00716C75">
            <w:r>
              <w:t>0</w:t>
            </w:r>
          </w:p>
        </w:tc>
        <w:tc>
          <w:tcPr>
            <w:tcW w:w="0" w:type="auto"/>
          </w:tcPr>
          <w:p w:rsidR="00F41AFA" w:rsidRDefault="00716C75">
            <w:r>
              <w:t>100</w:t>
            </w:r>
          </w:p>
        </w:tc>
      </w:tr>
      <w:tr w:rsidR="00F41AFA">
        <w:tc>
          <w:tcPr>
            <w:tcW w:w="0" w:type="auto"/>
          </w:tcPr>
          <w:p w:rsidR="00F41AFA" w:rsidRDefault="00716C75">
            <w:r>
              <w:t xml:space="preserve">Misure di </w:t>
            </w:r>
            <w:r>
              <w:t>definizione e promozione dell’etica e di standard di comportamento</w:t>
            </w:r>
          </w:p>
        </w:tc>
        <w:tc>
          <w:tcPr>
            <w:tcW w:w="0" w:type="auto"/>
          </w:tcPr>
          <w:p w:rsidR="00F41AFA" w:rsidRDefault="00716C75">
            <w:r>
              <w:t>7</w:t>
            </w:r>
          </w:p>
        </w:tc>
        <w:tc>
          <w:tcPr>
            <w:tcW w:w="0" w:type="auto"/>
          </w:tcPr>
          <w:p w:rsidR="00F41AFA" w:rsidRDefault="00716C75">
            <w:r>
              <w:t>7</w:t>
            </w:r>
          </w:p>
        </w:tc>
        <w:tc>
          <w:tcPr>
            <w:tcW w:w="0" w:type="auto"/>
          </w:tcPr>
          <w:p w:rsidR="00F41AFA" w:rsidRDefault="00716C75">
            <w:r>
              <w:t>0</w:t>
            </w:r>
          </w:p>
        </w:tc>
        <w:tc>
          <w:tcPr>
            <w:tcW w:w="0" w:type="auto"/>
          </w:tcPr>
          <w:p w:rsidR="00F41AFA" w:rsidRDefault="00716C75">
            <w:r>
              <w:t>100</w:t>
            </w:r>
          </w:p>
        </w:tc>
      </w:tr>
      <w:tr w:rsidR="00F41AFA">
        <w:tc>
          <w:tcPr>
            <w:tcW w:w="0" w:type="auto"/>
          </w:tcPr>
          <w:p w:rsidR="00F41AFA" w:rsidRDefault="00716C75">
            <w:r>
              <w:t>Misure di regolamentazione</w:t>
            </w:r>
          </w:p>
        </w:tc>
        <w:tc>
          <w:tcPr>
            <w:tcW w:w="0" w:type="auto"/>
          </w:tcPr>
          <w:p w:rsidR="00F41AFA" w:rsidRDefault="00716C75">
            <w:r>
              <w:t>6</w:t>
            </w:r>
          </w:p>
        </w:tc>
        <w:tc>
          <w:tcPr>
            <w:tcW w:w="0" w:type="auto"/>
          </w:tcPr>
          <w:p w:rsidR="00F41AFA" w:rsidRDefault="00716C75">
            <w:r>
              <w:t>6</w:t>
            </w:r>
          </w:p>
        </w:tc>
        <w:tc>
          <w:tcPr>
            <w:tcW w:w="0" w:type="auto"/>
          </w:tcPr>
          <w:p w:rsidR="00F41AFA" w:rsidRDefault="00716C75">
            <w:r>
              <w:t>0</w:t>
            </w:r>
          </w:p>
        </w:tc>
        <w:tc>
          <w:tcPr>
            <w:tcW w:w="0" w:type="auto"/>
          </w:tcPr>
          <w:p w:rsidR="00F41AFA" w:rsidRDefault="00716C75">
            <w:r>
              <w:t>100</w:t>
            </w:r>
          </w:p>
        </w:tc>
      </w:tr>
      <w:tr w:rsidR="00F41AFA">
        <w:tc>
          <w:tcPr>
            <w:tcW w:w="0" w:type="auto"/>
          </w:tcPr>
          <w:p w:rsidR="00F41AFA" w:rsidRDefault="00716C75">
            <w:r>
              <w:t>TOTALI</w:t>
            </w:r>
          </w:p>
        </w:tc>
        <w:tc>
          <w:tcPr>
            <w:tcW w:w="0" w:type="auto"/>
          </w:tcPr>
          <w:p w:rsidR="00F41AFA" w:rsidRDefault="00716C75">
            <w:r>
              <w:t>31</w:t>
            </w:r>
          </w:p>
        </w:tc>
        <w:tc>
          <w:tcPr>
            <w:tcW w:w="0" w:type="auto"/>
          </w:tcPr>
          <w:p w:rsidR="00F41AFA" w:rsidRDefault="00716C75">
            <w:r>
              <w:t>31</w:t>
            </w:r>
          </w:p>
        </w:tc>
        <w:tc>
          <w:tcPr>
            <w:tcW w:w="0" w:type="auto"/>
          </w:tcPr>
          <w:p w:rsidR="00F41AFA" w:rsidRDefault="00716C75">
            <w:r>
              <w:t>0</w:t>
            </w:r>
          </w:p>
        </w:tc>
        <w:tc>
          <w:tcPr>
            <w:tcW w:w="0" w:type="auto"/>
          </w:tcPr>
          <w:p w:rsidR="00F41AFA" w:rsidRDefault="00716C75">
            <w:r>
              <w:t>100</w:t>
            </w:r>
          </w:p>
        </w:tc>
      </w:tr>
    </w:tbl>
    <w:p w:rsidR="006E5641" w:rsidRDefault="006E5641" w:rsidP="00A82AEF"/>
    <w:p w:rsidR="006E5641" w:rsidRDefault="006E5641" w:rsidP="00A82AEF"/>
    <w:p w:rsidR="00B36318" w:rsidRDefault="00F41AFA" w:rsidP="00A82AEF">
      <w:r>
        <w:rPr>
          <w:noProof/>
          <w:lang w:eastAsia="it-IT"/>
        </w:rPr>
        <w:pict>
          <v:shape id="Casella di testo 19" o:spid="_x0000_s1037" type="#_x0000_t202" style="position:absolute;margin-left:0;margin-top:23.8pt;width:443.7pt;height:51.9pt;z-index:251703296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214959">
                  <w:r>
                    <w:t>Note del RPCT:</w:t>
                  </w:r>
                </w:p>
                <w:p w:rsidR="00380B17" w:rsidRDefault="00380B17" w:rsidP="00214959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214959" w:rsidRDefault="00214959" w:rsidP="00A82AEF"/>
    <w:p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:rsidR="0017516A" w:rsidRDefault="0017516A" w:rsidP="0017516A"/>
    <w:p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rimasta invariata in ragione di: Consapevolezza del rischio e alto senso di responsabilità.</w:t>
      </w:r>
      <w:r>
        <w:br/>
        <w:t xml:space="preserve">  - la capacità di individuare e far emergere situazioni di rischio corruttivo e di intervenire con adeguati rimedi è rimasta invariata in ragione di: La soglia di attenzione ai fenomeni potenzialmente corruttivi è sempre altissima.</w:t>
      </w:r>
      <w:r>
        <w:br/>
      </w:r>
      <w:r>
        <w:lastRenderedPageBreak/>
        <w:t xml:space="preserve">  - la reputazione dell'ente è rimasta invariata in ragione di: Nessun fenomeno di corruzione o affini ha interessato la SRR</w:t>
      </w:r>
    </w:p>
    <w:p w:rsidR="00B057F9" w:rsidRDefault="00B057F9" w:rsidP="00B057F9"/>
    <w:p w:rsidR="0017516A" w:rsidRDefault="00F41AFA" w:rsidP="0017516A">
      <w:r>
        <w:rPr>
          <w:noProof/>
          <w:lang w:eastAsia="it-IT"/>
        </w:rPr>
        <w:pict>
          <v:shape id="Casella di testo 35" o:spid="_x0000_s1038" type="#_x0000_t202" style="position:absolute;margin-left:18.3pt;margin-top:9.1pt;width:443.7pt;height:51.9pt;z-index:251718656;visibility:visible;mso-width-relative:margin;mso-height-relative:margin" fillcolor="#deeaf6 [664]" strokeweight=".5pt">
            <v:textbox>
              <w:txbxContent>
                <w:p w:rsidR="00380B17" w:rsidRDefault="00380B17" w:rsidP="00B057F9">
                  <w:r>
                    <w:t>Note del RPCT:</w:t>
                  </w:r>
                </w:p>
                <w:p w:rsidR="00380B17" w:rsidRDefault="00380B17" w:rsidP="00B057F9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:rsidR="001D26AC" w:rsidRDefault="001D26AC" w:rsidP="001D26AC">
      <w:pPr>
        <w:rPr>
          <w:color w:val="000000" w:themeColor="text1"/>
        </w:rPr>
      </w:pPr>
    </w:p>
    <w:p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:rsidR="0017516A" w:rsidRDefault="00F41AFA" w:rsidP="0017516A">
      <w:r>
        <w:rPr>
          <w:noProof/>
          <w:lang w:eastAsia="it-IT"/>
        </w:rPr>
        <w:pict>
          <v:shape id="Casella di testo 37" o:spid="_x0000_s1039" type="#_x0000_t202" style="position:absolute;margin-left:0;margin-top:15.85pt;width:443.7pt;height:51.9pt;z-index:251696128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17516A">
                  <w:r>
                    <w:t>Note del RPCT:</w:t>
                  </w:r>
                </w:p>
                <w:p w:rsidR="00380B17" w:rsidRDefault="00380B17" w:rsidP="0017516A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17516A" w:rsidRDefault="0017516A" w:rsidP="0017516A"/>
    <w:p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:rsidR="00F30A9E" w:rsidRDefault="00F30A9E" w:rsidP="00F30A9E"/>
    <w:p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:rsidR="0017516A" w:rsidRDefault="00F41AFA" w:rsidP="0017516A">
      <w:r>
        <w:rPr>
          <w:noProof/>
          <w:lang w:eastAsia="it-IT"/>
        </w:rPr>
        <w:pict>
          <v:shape id="Casella di testo 38" o:spid="_x0000_s1040" type="#_x0000_t202" style="position:absolute;margin-left:15.3pt;margin-top:24.8pt;width:443.7pt;height:51.9pt;z-index:251697152;visibility:visible;mso-width-relative:margin;mso-height-relative:margin" fillcolor="#deeaf6 [664]" strokeweight=".5pt">
            <v:textbox>
              <w:txbxContent>
                <w:p w:rsidR="00380B17" w:rsidRDefault="00380B17" w:rsidP="0017516A">
                  <w:r>
                    <w:t>Note del RPCT:</w:t>
                  </w:r>
                </w:p>
                <w:p w:rsidR="00380B17" w:rsidRDefault="00380B17" w:rsidP="0017516A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17516A" w:rsidRDefault="0017516A" w:rsidP="0017516A"/>
    <w:p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:rsidR="00364749" w:rsidRDefault="00364749" w:rsidP="00364749"/>
    <w:p w:rsidR="00364749" w:rsidRDefault="00364749" w:rsidP="00364749">
      <w:r>
        <w:t>Si ritiene che la messa in atto del processo di gestione del rischio abbia generato dentro l’organizzazione i seguenti effetti: buono per le seguenti ragioni: L'esiguo numero di dipendenti, nonché di situazioni potenzialmente a rischio dal punto di vista della corruzione, facilita tantissimo il controllo analogo soprattutto per la totale assenza di aspetti critici</w:t>
      </w:r>
      <w:r>
        <w:br/>
      </w:r>
      <w:r>
        <w:lastRenderedPageBreak/>
        <w:br/>
        <w:t>Si ritiene che l’idoneità complessiva della strategia di prevenzione della corruzione (definita attraverso una valutazione sintetica) con particolare riferimento alle misure previste nel Piano e attuate sia idoneo per le seguenti ragioni: La completezza delle norme comportamentali e l'alto senso di responsabilità dei pochi dipendenti della SRR fanno ritenere che il Codice di Comportamento medesimo sia adeguato.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L'esiguo numero di dipendenti, nonché di situazioni potenzialmente a rischio dal punto di vista della corruzione, facilita tantissimo il controllo analogo soprattutto per la totale assenza di aspetti critici</w:t>
      </w:r>
    </w:p>
    <w:p w:rsidR="00364749" w:rsidRDefault="00F41AFA" w:rsidP="00364749">
      <w:r>
        <w:rPr>
          <w:noProof/>
          <w:lang w:eastAsia="it-IT"/>
        </w:rPr>
        <w:pict>
          <v:shape id="Casella di testo 39" o:spid="_x0000_s1041" type="#_x0000_t202" style="position:absolute;margin-left:0;margin-top:23.35pt;width:443.7pt;height:51.9pt;z-index:251720704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364749">
                  <w:r>
                    <w:t>Note del RPCT:</w:t>
                  </w:r>
                </w:p>
                <w:p w:rsidR="00380B17" w:rsidRDefault="00380B17" w:rsidP="00364749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364749" w:rsidRPr="00364749" w:rsidRDefault="00364749" w:rsidP="00364749"/>
    <w:p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:rsidR="00E46B44" w:rsidRDefault="00E46B44" w:rsidP="00E46B44"/>
    <w:p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E46B44" w:rsidRDefault="00E46B44" w:rsidP="00E46B44"/>
    <w:p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:rsidR="00E46B44" w:rsidRDefault="00E46B44" w:rsidP="00E46B44"/>
    <w:p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4</w:t>
      </w:r>
      <w:r>
        <w:br/>
        <w:t xml:space="preserve">  -  Numero di misure attuate nei tempi previsti: 4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controllo programmata </w:t>
      </w:r>
      <w:r>
        <w:br/>
      </w:r>
      <w:r>
        <w:br/>
        <w:t>Area di rischio: E. Incarichi e nomine</w:t>
      </w:r>
      <w:r>
        <w:br/>
        <w:t>Denominazione misura:  Verifica insussistenza situazioni di incompatibilità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VERIFICA DELLE'ESTATTO ADEMPIMENTO DA PARTE DEI COMUNI DELLE SOMME DOVUTE PER SERVIZI EROGATI DALLA SRR - ADEMPIMENTI FISCALI</w:t>
      </w:r>
      <w:r>
        <w:br/>
        <w:t>La misura è stata attuata nei tempi previsti.</w:t>
      </w:r>
      <w:r>
        <w:br/>
      </w:r>
      <w:r>
        <w:br/>
        <w:t>Area di rischio: G. Controlli, verifiche, ispezioni e sanzioni</w:t>
      </w:r>
      <w:r>
        <w:br/>
        <w:t>Denominazione misura: GESTIONE FINANZIARIA E LIQUIDITA' DI CASSA</w:t>
      </w:r>
      <w:r>
        <w:br/>
        <w:t>La misura è stata attuata nei tempi previsti.</w:t>
      </w:r>
    </w:p>
    <w:p w:rsidR="00E46B44" w:rsidRDefault="00F41AFA" w:rsidP="00E46B44">
      <w:r>
        <w:rPr>
          <w:noProof/>
          <w:lang w:eastAsia="it-IT"/>
        </w:rPr>
        <w:lastRenderedPageBreak/>
        <w:pict>
          <v:shape id="Casella di testo 1" o:spid="_x0000_s1042" type="#_x0000_t202" style="position:absolute;margin-left:0;margin-top:17.55pt;width:443.7pt;height:51.9pt;z-index:251705344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/>
    <w:p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:rsidR="00E46B44" w:rsidRDefault="00E46B44" w:rsidP="00E46B44"/>
    <w:p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14</w:t>
      </w:r>
      <w:r>
        <w:br/>
        <w:t xml:space="preserve">  -  Numero di misure attuate nei tempi previsti: 14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>Denominazione misura: Reclutamento personale-progressione carriera-conferimento incarichi a personale interno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Individuazione dello strumento/istituto per l'affidamento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S3elezione del contraente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Verifica dell’aggiudicazione e stipula del contratto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Esecuzione del contratto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Rendicontazione del contratto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procedure di scelta dei destinatari di incarichi professionali e di consulenza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</w:r>
      <w:r>
        <w:lastRenderedPageBreak/>
        <w:t>Denominazione misura: Pagamento fornitori-Pagamento stipendi</w:t>
      </w:r>
      <w:r>
        <w:br/>
        <w:t>La misura è stata attuata nei tempi previsti.</w:t>
      </w:r>
      <w:r>
        <w:br/>
      </w:r>
      <w:r>
        <w:br/>
        <w:t>Area di rischio: I.2 GESTIONE FLUSSI DOCUMENTALI E INFORMATIVI</w:t>
      </w:r>
      <w:r>
        <w:br/>
        <w:t>Denominazione misura: Relazione e variazione Piano d'Ambito-Rilascio Pareri</w:t>
      </w:r>
      <w:r>
        <w:br/>
        <w:t>La misura è stata attuata nei tempi previsti.</w:t>
      </w:r>
    </w:p>
    <w:p w:rsidR="00E46B44" w:rsidRDefault="00F41AFA" w:rsidP="00E46B44">
      <w:r>
        <w:rPr>
          <w:noProof/>
          <w:lang w:eastAsia="it-IT"/>
        </w:rPr>
        <w:pict>
          <v:shape id="Casella di testo 2" o:spid="_x0000_s1043" type="#_x0000_t202" style="position:absolute;margin-left:0;margin-top:17.55pt;width:443.7pt;height:51.9pt;z-index:251706368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/>
    <w:p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:rsidR="00E46B44" w:rsidRDefault="00E46B44" w:rsidP="00E46B44"/>
    <w:p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7</w:t>
      </w:r>
      <w:r>
        <w:br/>
        <w:t xml:space="preserve">  -  Numero di misure attuate nei tempi previsti: 7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definizione e promozione dell’etica e di standard di comportamento programmata </w:t>
      </w:r>
      <w:r>
        <w:br/>
      </w:r>
      <w:r>
        <w:br/>
        <w:t>Area di rischio: A. Concorsi e prove selettive</w:t>
      </w:r>
      <w:r>
        <w:br/>
        <w:t>Denominazione misura: Reclutamento personale-progressione carriera-conferimento incarichi a personale interno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Gestione finanziaria e liquidità di cassa-gestione del patrimonio</w:t>
      </w:r>
      <w:r>
        <w:br/>
        <w:t>La misura è stata attuata nei tempi previsti.</w:t>
      </w:r>
    </w:p>
    <w:p w:rsidR="00E46B44" w:rsidRDefault="00F41AFA" w:rsidP="00E46B44">
      <w:r>
        <w:rPr>
          <w:noProof/>
          <w:lang w:eastAsia="it-IT"/>
        </w:rPr>
        <w:pict>
          <v:shape id="Casella di testo 3" o:spid="_x0000_s1044" type="#_x0000_t202" style="position:absolute;margin-left:0;margin-top:17.55pt;width:443.7pt;height:51.9pt;z-index:251707392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>
      <w:pPr>
        <w:rPr>
          <w:u w:val="single"/>
        </w:rPr>
      </w:pPr>
    </w:p>
    <w:p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:rsidR="00E46B44" w:rsidRDefault="00E46B44" w:rsidP="00E46B44">
      <w:pPr>
        <w:rPr>
          <w:u w:val="single"/>
        </w:rPr>
      </w:pPr>
    </w:p>
    <w:p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6</w:t>
      </w:r>
      <w:r>
        <w:br/>
        <w:t xml:space="preserve">  -  Numero di misure attuate nei tempi previsti: 6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regolamentazione </w:t>
      </w:r>
      <w:r>
        <w:lastRenderedPageBreak/>
        <w:t xml:space="preserve">programmata </w:t>
      </w:r>
      <w:r>
        <w:br/>
      </w:r>
      <w:r>
        <w:br/>
        <w:t>Area di rischio: D.1 Contratti pubblici - Programmazione</w:t>
      </w:r>
      <w:r>
        <w:br/>
        <w:t>Denominazione misura: Programmazione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Progettazione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Predisposizione Bilanci-Emissioni documenti contabili/fatture</w:t>
      </w:r>
      <w:r>
        <w:br/>
        <w:t>La misura è stata attuata nei tempi previsti.</w:t>
      </w:r>
      <w:r>
        <w:br/>
      </w:r>
      <w:r>
        <w:br/>
        <w:t>Area di rischio: G. Controlli, verifiche, ispezioni e sanzioni</w:t>
      </w:r>
      <w:r>
        <w:br/>
        <w:t>Denominazione misura: Verifica sul servizio di gestione integrata rifiuti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Autorizzazione ad agire/resistere al giudizio</w:t>
      </w:r>
      <w:r>
        <w:br/>
        <w:t>La misura è stata attuata nei tempi previsti.</w:t>
      </w:r>
    </w:p>
    <w:p w:rsidR="00E46B44" w:rsidRDefault="00F41AFA" w:rsidP="00E46B44">
      <w:r>
        <w:rPr>
          <w:noProof/>
          <w:lang w:eastAsia="it-IT"/>
        </w:rPr>
        <w:pict>
          <v:shape id="Casella di testo 4" o:spid="_x0000_s1045" type="#_x0000_t202" style="position:absolute;margin-left:0;margin-top:17.55pt;width:443.7pt;height:51.9pt;z-index:251708416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/>
    <w:p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:rsidR="00E46B44" w:rsidRDefault="00E46B44" w:rsidP="00E46B44"/>
    <w:p w:rsidR="00E46B44" w:rsidRDefault="00E46B44" w:rsidP="00E46B44">
      <w:r>
        <w:t>Non sono state programmate misure specifiche di semplificazione.</w:t>
      </w:r>
    </w:p>
    <w:p w:rsidR="00E46B44" w:rsidRDefault="00F41AFA" w:rsidP="00E46B44">
      <w:r>
        <w:rPr>
          <w:noProof/>
          <w:lang w:eastAsia="it-IT"/>
        </w:rPr>
        <w:pict>
          <v:shape id="Casella di testo 14" o:spid="_x0000_s1046" type="#_x0000_t202" style="position:absolute;margin-left:0;margin-top:17.55pt;width:443.7pt;height:51.9pt;z-index:251709440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/>
    <w:p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:rsidR="00E46B44" w:rsidRDefault="00E46B44" w:rsidP="00E46B44"/>
    <w:p w:rsidR="00E46B44" w:rsidRDefault="00E46B44" w:rsidP="00E46B44">
      <w:r>
        <w:t>Non sono state programmate misure specifiche di formazione.</w:t>
      </w:r>
    </w:p>
    <w:p w:rsidR="00E46B44" w:rsidRDefault="00F41AFA" w:rsidP="00E46B44">
      <w:r>
        <w:rPr>
          <w:noProof/>
          <w:lang w:eastAsia="it-IT"/>
        </w:rPr>
        <w:pict>
          <v:shape id="Casella di testo 16" o:spid="_x0000_s1047" type="#_x0000_t202" style="position:absolute;margin-left:0;margin-top:17.55pt;width:443.7pt;height:51.9pt;z-index:251710464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/>
    <w:p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:rsidR="00E46B44" w:rsidRDefault="00E46B44" w:rsidP="00E46B44"/>
    <w:p w:rsidR="00E46B44" w:rsidRDefault="00E46B44" w:rsidP="00E46B44">
      <w:r>
        <w:t>Non sono state programmate misure specifiche di rotazione.</w:t>
      </w:r>
    </w:p>
    <w:p w:rsidR="00E46B44" w:rsidRDefault="00F41AFA" w:rsidP="00E46B44">
      <w:r>
        <w:rPr>
          <w:noProof/>
          <w:lang w:eastAsia="it-IT"/>
        </w:rPr>
        <w:lastRenderedPageBreak/>
        <w:pict>
          <v:shape id="Casella di testo 17" o:spid="_x0000_s1048" type="#_x0000_t202" style="position:absolute;margin-left:0;margin-top:17.55pt;width:443.7pt;height:51.9pt;z-index:251711488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E46B44" w:rsidRDefault="00E46B44" w:rsidP="00E46B44">
      <w:pPr>
        <w:rPr>
          <w:bCs/>
        </w:rPr>
      </w:pPr>
    </w:p>
    <w:p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:rsidR="00E46B44" w:rsidRDefault="00E46B44" w:rsidP="00E46B44"/>
    <w:p w:rsidR="00E46B44" w:rsidRDefault="00E46B44" w:rsidP="00E46B44">
      <w:r>
        <w:t>Non sono state programmate misure specifiche di disciplina del conflitto di interessi.</w:t>
      </w:r>
    </w:p>
    <w:p w:rsidR="00E46B44" w:rsidRDefault="00F41AFA" w:rsidP="00E46B44">
      <w:r>
        <w:rPr>
          <w:noProof/>
          <w:lang w:eastAsia="it-IT"/>
        </w:rPr>
        <w:pict>
          <v:shape id="Casella di testo 18" o:spid="_x0000_s1049" type="#_x0000_t202" style="position:absolute;margin-left:0;margin-top:17.55pt;width:443.7pt;height:51.9pt;z-index:251712512;visibility:visible;mso-position-horizontal:center;mso-position-horizontal-relative:margin;mso-width-relative:margin;mso-height-relative:margin" fillcolor="#deeaf6 [664]" strokeweight=".5pt">
            <v:textbox>
              <w:txbxContent>
                <w:p w:rsidR="00380B17" w:rsidRDefault="00380B17" w:rsidP="00E46B44">
                  <w:r>
                    <w:t>Note del RPCT:</w:t>
                  </w:r>
                </w:p>
                <w:p w:rsidR="00380B17" w:rsidRDefault="00380B17" w:rsidP="00E46B44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75" w:rsidRDefault="00716C75" w:rsidP="00424EBB">
      <w:r>
        <w:separator/>
      </w:r>
    </w:p>
  </w:endnote>
  <w:endnote w:type="continuationSeparator" w:id="0">
    <w:p w:rsidR="00716C75" w:rsidRDefault="00716C75" w:rsidP="0042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:rsidR="00380B17" w:rsidRDefault="00F41AFA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380B1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80B17" w:rsidRDefault="00380B17" w:rsidP="00424EB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17" w:rsidRPr="00380B17" w:rsidRDefault="00F41AFA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="00380B17"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BB31B7">
      <w:rPr>
        <w:caps/>
        <w:noProof/>
      </w:rPr>
      <w:t>2</w:t>
    </w:r>
    <w:r w:rsidRPr="00380B17">
      <w:rPr>
        <w:cap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75" w:rsidRDefault="00716C75" w:rsidP="00424EBB">
      <w:r>
        <w:separator/>
      </w:r>
    </w:p>
  </w:footnote>
  <w:footnote w:type="continuationSeparator" w:id="0">
    <w:p w:rsidR="00716C75" w:rsidRDefault="00716C75" w:rsidP="0042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44"/>
  </w:num>
  <w:num w:numId="4">
    <w:abstractNumId w:val="37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40"/>
  </w:num>
  <w:num w:numId="13">
    <w:abstractNumId w:val="12"/>
  </w:num>
  <w:num w:numId="14">
    <w:abstractNumId w:val="24"/>
  </w:num>
  <w:num w:numId="15">
    <w:abstractNumId w:val="10"/>
  </w:num>
  <w:num w:numId="16">
    <w:abstractNumId w:val="29"/>
  </w:num>
  <w:num w:numId="17">
    <w:abstractNumId w:val="25"/>
  </w:num>
  <w:num w:numId="18">
    <w:abstractNumId w:val="17"/>
  </w:num>
  <w:num w:numId="19">
    <w:abstractNumId w:val="43"/>
  </w:num>
  <w:num w:numId="20">
    <w:abstractNumId w:val="14"/>
  </w:num>
  <w:num w:numId="21">
    <w:abstractNumId w:val="36"/>
  </w:num>
  <w:num w:numId="22">
    <w:abstractNumId w:val="6"/>
  </w:num>
  <w:num w:numId="23">
    <w:abstractNumId w:val="21"/>
  </w:num>
  <w:num w:numId="24">
    <w:abstractNumId w:val="27"/>
  </w:num>
  <w:num w:numId="25">
    <w:abstractNumId w:val="19"/>
  </w:num>
  <w:num w:numId="26">
    <w:abstractNumId w:val="39"/>
  </w:num>
  <w:num w:numId="27">
    <w:abstractNumId w:val="35"/>
  </w:num>
  <w:num w:numId="28">
    <w:abstractNumId w:val="34"/>
  </w:num>
  <w:num w:numId="29">
    <w:abstractNumId w:val="28"/>
  </w:num>
  <w:num w:numId="30">
    <w:abstractNumId w:val="41"/>
  </w:num>
  <w:num w:numId="31">
    <w:abstractNumId w:val="9"/>
  </w:num>
  <w:num w:numId="32">
    <w:abstractNumId w:val="1"/>
  </w:num>
  <w:num w:numId="33">
    <w:abstractNumId w:val="8"/>
  </w:num>
  <w:num w:numId="34">
    <w:abstractNumId w:val="2"/>
  </w:num>
  <w:num w:numId="35">
    <w:abstractNumId w:val="15"/>
  </w:num>
  <w:num w:numId="36">
    <w:abstractNumId w:val="26"/>
  </w:num>
  <w:num w:numId="37">
    <w:abstractNumId w:val="0"/>
  </w:num>
  <w:num w:numId="38">
    <w:abstractNumId w:val="3"/>
  </w:num>
  <w:num w:numId="39">
    <w:abstractNumId w:val="18"/>
  </w:num>
  <w:num w:numId="40">
    <w:abstractNumId w:val="32"/>
  </w:num>
  <w:num w:numId="41">
    <w:abstractNumId w:val="38"/>
  </w:num>
  <w:num w:numId="42">
    <w:abstractNumId w:val="4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16C75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B31B7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1AFA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AFA"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0ADF9-A647-4142-96F3-CE38E71C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2023-01-16T11:00:00Z</dcterms:created>
  <dcterms:modified xsi:type="dcterms:W3CDTF">2023-01-16T11:00:00Z</dcterms:modified>
</cp:coreProperties>
</file>